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97BE9" w14:textId="77777777" w:rsidR="00722551" w:rsidRPr="00722551" w:rsidRDefault="00722551" w:rsidP="00722EC6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4632EB5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463AF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062CF2A9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463AF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363F176A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94031260030</w:t>
            </w:r>
          </w:p>
        </w:tc>
      </w:tr>
      <w:tr w:rsidR="0040127A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1D3A6050" w:rsidR="0040127A" w:rsidRPr="00535A09" w:rsidRDefault="007768E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iCs/>
                <w:color w:val="355269"/>
              </w:rPr>
              <w:t xml:space="preserve">Agenzia di accoglienza e promozione turistica locale della Provincia di Novara </w:t>
            </w:r>
            <w:proofErr w:type="spellStart"/>
            <w:r>
              <w:rPr>
                <w:iCs/>
                <w:color w:val="355269"/>
              </w:rPr>
              <w:t>s.c.r.l</w:t>
            </w:r>
            <w:proofErr w:type="spellEnd"/>
            <w:r>
              <w:rPr>
                <w:iCs/>
                <w:color w:val="355269"/>
              </w:rPr>
              <w:t xml:space="preserve">. o brevemente “ATL della Provincia di Novara </w:t>
            </w:r>
            <w:proofErr w:type="spellStart"/>
            <w:r>
              <w:rPr>
                <w:iCs/>
                <w:color w:val="355269"/>
              </w:rPr>
              <w:t>s.c.r.l</w:t>
            </w:r>
            <w:proofErr w:type="spellEnd"/>
            <w:r>
              <w:rPr>
                <w:iCs/>
                <w:color w:val="355269"/>
              </w:rPr>
              <w:t>.”</w:t>
            </w:r>
          </w:p>
        </w:tc>
      </w:tr>
      <w:tr w:rsidR="0040127A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03B52D26" w:rsidR="0040127A" w:rsidRPr="00535A09" w:rsidRDefault="007768EF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iCs/>
                <w:color w:val="355269"/>
              </w:rPr>
              <w:t>19/12/1997 trasformata da consorzio a società consortile in data 04/10/2018</w:t>
            </w:r>
          </w:p>
        </w:tc>
      </w:tr>
      <w:tr w:rsidR="0040127A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61BC5DE0" w:rsidR="0040127A" w:rsidRPr="00535A09" w:rsidRDefault="002A54C0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40127A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3F668B5B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 w:rsidRPr="00FE34F9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0F1A16E4" w:rsidR="0040127A" w:rsidRPr="00535A09" w:rsidRDefault="002A54C0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5EC639A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4A6F0735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2A4E45EF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30279DEC" w:rsidR="0040127A" w:rsidRPr="00535A09" w:rsidRDefault="002A54C0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26D598C1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Novara</w:t>
            </w:r>
          </w:p>
        </w:tc>
      </w:tr>
      <w:tr w:rsidR="0040127A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4865F78D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Novara</w:t>
            </w:r>
          </w:p>
        </w:tc>
      </w:tr>
      <w:tr w:rsidR="0040127A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548A836E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28100</w:t>
            </w:r>
          </w:p>
        </w:tc>
      </w:tr>
      <w:tr w:rsidR="0040127A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76D140AF" w:rsidR="0040127A" w:rsidRPr="00535A09" w:rsidRDefault="002A54C0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Piazza Matteotti, 1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A323EF1" w:rsidR="0040127A" w:rsidRPr="00535A09" w:rsidRDefault="00F634C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0321 394059</w:t>
            </w: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6C5CC71" w:rsidR="0040127A" w:rsidRPr="00535A09" w:rsidRDefault="00BF79A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hyperlink r:id="rId9" w:history="1">
              <w:r w:rsidR="009A79EE" w:rsidRPr="00F517EE">
                <w:rPr>
                  <w:rStyle w:val="Collegamentoipertestuale"/>
                  <w:rFonts w:cstheme="minorHAnsi"/>
                  <w:iCs/>
                  <w:sz w:val="18"/>
                  <w:szCs w:val="18"/>
                </w:rPr>
                <w:t>aptlnovara@pec.it</w:t>
              </w:r>
            </w:hyperlink>
            <w:r w:rsidR="009A79EE">
              <w:rPr>
                <w:rFonts w:cstheme="minorHAnsi"/>
                <w:iCs/>
                <w:color w:val="244062"/>
                <w:sz w:val="18"/>
                <w:szCs w:val="18"/>
              </w:rPr>
              <w:t xml:space="preserve">; </w:t>
            </w:r>
            <w:hyperlink r:id="rId10" w:history="1">
              <w:r w:rsidR="009A79EE" w:rsidRPr="00F517EE">
                <w:rPr>
                  <w:rStyle w:val="Collegamentoipertestuale"/>
                  <w:rFonts w:cstheme="minorHAnsi"/>
                  <w:iCs/>
                  <w:sz w:val="18"/>
                  <w:szCs w:val="18"/>
                </w:rPr>
                <w:t>info@turismonovara.it</w:t>
              </w:r>
            </w:hyperlink>
            <w:r w:rsidR="009A79EE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11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3F596517" w:rsidR="0040127A" w:rsidRPr="00A37C18" w:rsidRDefault="00F634C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799019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13213C59" w:rsidR="0040127A" w:rsidRPr="00305928" w:rsidRDefault="0034603E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25666056" w:rsidR="0040127A" w:rsidRPr="0030592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547D258C" w:rsidR="0040127A" w:rsidRPr="00305928" w:rsidRDefault="0034603E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510F7A9D" w:rsidR="0040127A" w:rsidRPr="00305928" w:rsidRDefault="0034603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4880648E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76458863" w:rsidR="00A93B10" w:rsidRPr="0030592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09E6A91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A1655F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40A6015A" w:rsidR="0040127A" w:rsidRPr="0030592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9B8E0E6" w:rsidR="0040127A" w:rsidRPr="0030592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3" w:name="_Hlk85622832"/>
      <w:r w:rsidR="007B2FB0" w:rsidRPr="007B2FB0">
        <w:rPr>
          <w:sz w:val="18"/>
          <w:szCs w:val="20"/>
        </w:rPr>
        <w:t xml:space="preserve">Per la nozione </w:t>
      </w:r>
      <w:bookmarkEnd w:id="3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BF79A7" w:rsidP="007B2FB0">
      <w:pPr>
        <w:rPr>
          <w:rStyle w:val="Collegamentoipertestuale"/>
          <w:sz w:val="18"/>
          <w:szCs w:val="20"/>
        </w:rPr>
      </w:pPr>
      <w:hyperlink r:id="rId12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6613E50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26522262" w:rsidR="0040127A" w:rsidRPr="00BB3F9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71516C9F" w:rsidR="0040127A" w:rsidRPr="00BB3F98" w:rsidRDefault="00F634C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6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202E0D31" w:rsidR="0040127A" w:rsidRPr="00BB3F98" w:rsidRDefault="0034603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21BCE3C0" w:rsidR="0040127A" w:rsidRPr="00BB3F98" w:rsidRDefault="0034603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6679F325" w:rsidR="0040127A" w:rsidRPr="00BB3F98" w:rsidRDefault="0034603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51AD03EC" w:rsidR="0040127A" w:rsidRPr="00BB3F98" w:rsidRDefault="0034603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8.736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128"/>
        <w:gridCol w:w="1306"/>
        <w:gridCol w:w="1219"/>
        <w:gridCol w:w="1217"/>
        <w:gridCol w:w="1221"/>
      </w:tblGrid>
      <w:tr w:rsidR="0098603C" w:rsidRPr="00BB3F98" w14:paraId="4A893B06" w14:textId="77777777" w:rsidTr="009A79EE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5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3FAED76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77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032B69F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531BBAC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35E7E7C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10325BA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7</w:t>
            </w:r>
          </w:p>
        </w:tc>
      </w:tr>
      <w:tr w:rsidR="0040127A" w:rsidRPr="0007106C" w14:paraId="0976A0E9" w14:textId="77777777" w:rsidTr="009A79EE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585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3CC8301C" w:rsidR="0040127A" w:rsidRPr="00BB3F9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77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4BC9DA97" w:rsidR="0040127A" w:rsidRPr="00BB3F9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6975303F" w:rsidR="0040127A" w:rsidRPr="00BB3F9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66311AE4" w:rsidR="0040127A" w:rsidRPr="00BB3F98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2C077909" w:rsidR="0040127A" w:rsidRPr="00BB3F98" w:rsidRDefault="00724D38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A79EE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458B6CE3" w:rsidR="0040127A" w:rsidRPr="0034603E" w:rsidRDefault="009A79E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57.823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015F25E7" w:rsidR="0040127A" w:rsidRPr="00BB3F98" w:rsidRDefault="0034603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30.399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6A942E48" w:rsidR="0040127A" w:rsidRPr="00BB3F98" w:rsidRDefault="0034603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27.890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21EF983D" w:rsidR="0040127A" w:rsidRPr="00BB3F98" w:rsidRDefault="0034603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28.431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08930F4C" w:rsidR="0040127A" w:rsidRPr="00BB3F98" w:rsidRDefault="00724D3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-----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0127A" w:rsidRPr="00BB3F98" w14:paraId="41C3EBE0" w14:textId="77777777" w:rsidTr="00F634C9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0A3023D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3D42E9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422B4653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F634C9" w:rsidRPr="0007106C" w14:paraId="43763532" w14:textId="77777777" w:rsidTr="00F634C9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F634C9" w:rsidRPr="001E6AD0" w:rsidRDefault="00F634C9" w:rsidP="00F634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6A1DF16F" w:rsidR="00F634C9" w:rsidRPr="0034603E" w:rsidRDefault="00F634C9" w:rsidP="00F634C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11.967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40A13F40" w:rsidR="00F634C9" w:rsidRPr="0052060B" w:rsidRDefault="00F634C9" w:rsidP="00F634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22.628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0463727A" w:rsidR="00F634C9" w:rsidRPr="0052060B" w:rsidRDefault="00F634C9" w:rsidP="00F634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17.043</w:t>
            </w:r>
          </w:p>
        </w:tc>
      </w:tr>
      <w:tr w:rsidR="00F634C9" w:rsidRPr="0007106C" w14:paraId="012BED49" w14:textId="77777777" w:rsidTr="00F634C9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F634C9" w:rsidRPr="001E6AD0" w:rsidRDefault="00F634C9" w:rsidP="00F634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14B6B2DC" w:rsidR="00F634C9" w:rsidRPr="0034603E" w:rsidRDefault="00F634C9" w:rsidP="00F634C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570.528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4CF71EE9" w:rsidR="00F634C9" w:rsidRPr="0052060B" w:rsidRDefault="00F634C9" w:rsidP="00F634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593.668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3761E566" w:rsidR="00F634C9" w:rsidRPr="0052060B" w:rsidRDefault="00F634C9" w:rsidP="00F634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685.836</w:t>
            </w:r>
          </w:p>
        </w:tc>
      </w:tr>
      <w:tr w:rsidR="00F634C9" w:rsidRPr="0007106C" w14:paraId="09250712" w14:textId="77777777" w:rsidTr="00F634C9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F634C9" w:rsidRPr="001E6AD0" w:rsidRDefault="00F634C9" w:rsidP="00F634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344A433A" w:rsidR="00F634C9" w:rsidRPr="0034603E" w:rsidRDefault="00F634C9" w:rsidP="00F634C9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433.713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231D60AE" w:rsidR="00F634C9" w:rsidRPr="0052060B" w:rsidRDefault="00F634C9" w:rsidP="00F634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409.643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67F17681" w:rsidR="00F634C9" w:rsidRPr="0052060B" w:rsidRDefault="00F634C9" w:rsidP="00F634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482.278</w:t>
            </w: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6164733C" w:rsidR="0040127A" w:rsidRPr="00771AEF" w:rsidRDefault="0034603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F634C9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F634C9" w:rsidRPr="00771AEF" w:rsidRDefault="00F634C9" w:rsidP="00F634C9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5F93F18" w:rsidR="00F634C9" w:rsidRPr="00771AEF" w:rsidRDefault="001D42D3" w:rsidP="00F634C9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1D42D3">
              <w:rPr>
                <w:highlight w:val="yellow"/>
              </w:rPr>
              <w:t>SI VEDA SCHEDA ALLEGATA DA CUI RICAVARE PERCENTUALE DI PARTECIPAZIONE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4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4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5F27169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3D74C291" w:rsidR="005307C8" w:rsidRDefault="0034603E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5AB46820" w14:textId="11C1CB32" w:rsidR="00187682" w:rsidRPr="00187682" w:rsidRDefault="00187682" w:rsidP="0034603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342174D0" w14:textId="77777777" w:rsidR="00DA7D44" w:rsidRDefault="00DA7D44" w:rsidP="00DA7D44">
      <w:pPr>
        <w:jc w:val="both"/>
      </w:pPr>
      <w:bookmarkStart w:id="5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3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5"/>
    <w:p w14:paraId="0A6A6158" w14:textId="77777777" w:rsidR="00DA7D44" w:rsidRDefault="00DA7D44" w:rsidP="00DA7D44">
      <w:pPr>
        <w:pStyle w:val="Paragrafoelenco"/>
        <w:tabs>
          <w:tab w:val="left" w:pos="357"/>
        </w:tabs>
        <w:spacing w:before="40" w:after="40"/>
        <w:ind w:left="284"/>
        <w:contextualSpacing w:val="0"/>
      </w:pP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55DE039D" w:rsidR="0040127A" w:rsidRPr="00771AEF" w:rsidRDefault="0034603E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 w:rsidRPr="0034603E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6BCB1E19" w:rsidR="00F451D0" w:rsidRDefault="0034603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716F89B2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28D52332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64C62319" w:rsidR="0040127A" w:rsidRPr="00771AEF" w:rsidRDefault="0034603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6C57F515" w:rsidR="0040127A" w:rsidRPr="00771AEF" w:rsidRDefault="0034603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D66C710" w:rsidR="0040127A" w:rsidRPr="00771AEF" w:rsidRDefault="0034603E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Organizzazione dell’attività di accoglienza, informazione e assistenza turistica sul territorio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55029F2E" w:rsidR="0040127A" w:rsidRPr="00771AEF" w:rsidRDefault="0034603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316C3372" w:rsidR="0040127A" w:rsidRPr="00771AEF" w:rsidRDefault="0034603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4A00BC89" w:rsidR="0040127A" w:rsidRPr="00771AEF" w:rsidRDefault="007768E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00BBEFF6" w:rsidR="0040127A" w:rsidRPr="00771AEF" w:rsidRDefault="0034603E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6DAF295D" w:rsidR="0040127A" w:rsidRPr="001D42D3" w:rsidRDefault="00F634C9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D42D3"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razionalizzazione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A93ABEE" w:rsidR="0040127A" w:rsidRPr="001D42D3" w:rsidRDefault="00F634C9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D42D3"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fusione della società per unione con altra società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79CB9723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6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6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3450D354" w:rsidR="005E1EEE" w:rsidRPr="0023519A" w:rsidRDefault="0034603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83FD2" w:rsidRPr="0023519A" w14:paraId="10410DB7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E6024B" w14:textId="231D470F" w:rsidR="00283FD2" w:rsidRPr="001E6AD0" w:rsidRDefault="00283FD2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92AB3">
              <w:rPr>
                <w:rFonts w:cstheme="minorHAnsi"/>
                <w:b/>
                <w:color w:val="244062"/>
                <w:sz w:val="18"/>
                <w:szCs w:val="18"/>
              </w:rPr>
              <w:t>Applicazione dell’art.24, comma 5-ter</w:t>
            </w:r>
            <w:r w:rsidR="00131059" w:rsidRP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3463AF" w:rsidRPr="00092AB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(14)</w:t>
            </w:r>
            <w:r w:rsidR="003463AF" w:rsidRPr="00092AB3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3463AF" w:rsidRPr="00092AB3">
              <w:rPr>
                <w:rFonts w:cstheme="minorHAnsi"/>
                <w:b/>
                <w:strike/>
                <w:color w:val="00B0F0"/>
                <w:vertAlign w:val="superscript"/>
              </w:rPr>
              <w:t>§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9F2BCC8" w14:textId="753F6AA4" w:rsidR="00283FD2" w:rsidRPr="0023519A" w:rsidRDefault="00283FD2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E4323F" w14:textId="77777777" w:rsidR="003D408A" w:rsidRPr="001D42D3" w:rsidRDefault="003D408A" w:rsidP="003D408A">
            <w:pPr>
              <w:pStyle w:val="Standarduser"/>
              <w:widowControl w:val="0"/>
              <w:snapToGrid w:val="0"/>
              <w:spacing w:before="60" w:after="0"/>
              <w:rPr>
                <w:iCs/>
                <w:color w:val="244062"/>
              </w:rPr>
            </w:pPr>
            <w:r w:rsidRPr="001D42D3">
              <w:rPr>
                <w:iCs/>
                <w:color w:val="244062"/>
              </w:rPr>
              <w:t xml:space="preserve">Approvazione del Consiglio di Amministrazione </w:t>
            </w:r>
            <w:proofErr w:type="gramStart"/>
            <w:r w:rsidRPr="001D42D3">
              <w:rPr>
                <w:iCs/>
                <w:color w:val="244062"/>
              </w:rPr>
              <w:t>dell’ Agenzia</w:t>
            </w:r>
            <w:proofErr w:type="gramEnd"/>
            <w:r w:rsidRPr="001D42D3">
              <w:rPr>
                <w:iCs/>
                <w:color w:val="244062"/>
              </w:rPr>
              <w:t xml:space="preserve"> in data 27/06/2022 del progetto di fusione tra ATL della Provincia di Novara e ATL Biella Valsesia Vercelli depositato, unitamente ai restanti documenti indicati dalla Legge (art. 2501 </w:t>
            </w:r>
            <w:proofErr w:type="spellStart"/>
            <w:r w:rsidRPr="001D42D3">
              <w:rPr>
                <w:iCs/>
                <w:color w:val="244062"/>
              </w:rPr>
              <w:t>septies</w:t>
            </w:r>
            <w:proofErr w:type="spellEnd"/>
            <w:r w:rsidRPr="001D42D3">
              <w:rPr>
                <w:iCs/>
                <w:color w:val="244062"/>
              </w:rPr>
              <w:t xml:space="preserve"> C.C.), in data 28 giugno 2022 presso le sedi delle società partecipanti alla fusione e regolarmente iscritto, in pari data, presso il competente Registro Imprese</w:t>
            </w:r>
          </w:p>
          <w:p w14:paraId="7EEBEFF9" w14:textId="4429D249" w:rsidR="0040127A" w:rsidRPr="0023519A" w:rsidRDefault="003D408A" w:rsidP="003D408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D42D3">
              <w:rPr>
                <w:iCs/>
                <w:color w:val="244062"/>
              </w:rPr>
              <w:t>Approvazione del progetto di fusione da parte dei Soci in Assemblea Straordinaria in data 14/11/2022.</w:t>
            </w:r>
            <w:r w:rsidR="007768EF" w:rsidRPr="001D42D3">
              <w:rPr>
                <w:color w:val="244062"/>
              </w:rPr>
              <w:t xml:space="preserve"> Entro il 31.12.2022 in previsione stipula atto fusione.</w:t>
            </w:r>
          </w:p>
        </w:tc>
      </w:tr>
    </w:tbl>
    <w:p w14:paraId="159E156C" w14:textId="1CEAFD48" w:rsidR="00D66155" w:rsidRDefault="00D66155" w:rsidP="001D42D3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sectPr w:rsidR="00D66155" w:rsidSect="003463AF">
      <w:footerReference w:type="default" r:id="rId14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8D5AD" w14:textId="77777777" w:rsidR="00DC0277" w:rsidRDefault="00DC0277" w:rsidP="003D526F">
      <w:pPr>
        <w:spacing w:after="0" w:line="240" w:lineRule="auto"/>
      </w:pPr>
      <w:r>
        <w:separator/>
      </w:r>
    </w:p>
  </w:endnote>
  <w:endnote w:type="continuationSeparator" w:id="0">
    <w:p w14:paraId="2AD4AE75" w14:textId="77777777" w:rsidR="00DC0277" w:rsidRDefault="00DC0277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3A7BE" w14:textId="6BE74131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3463AF">
      <w:rPr>
        <w:rFonts w:ascii="Calibri" w:hAnsi="Calibri"/>
        <w:b/>
        <w:iCs/>
        <w:color w:val="1F497D"/>
        <w:sz w:val="20"/>
        <w:szCs w:val="4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CCF37" w14:textId="77777777" w:rsidR="00DC0277" w:rsidRDefault="00DC0277" w:rsidP="003D526F">
      <w:pPr>
        <w:spacing w:after="0" w:line="240" w:lineRule="auto"/>
      </w:pPr>
      <w:r>
        <w:separator/>
      </w:r>
    </w:p>
  </w:footnote>
  <w:footnote w:type="continuationSeparator" w:id="0">
    <w:p w14:paraId="3AD1C9BF" w14:textId="77777777" w:rsidR="00DC0277" w:rsidRDefault="00DC0277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20"/>
  </w:num>
  <w:num w:numId="5">
    <w:abstractNumId w:val="21"/>
  </w:num>
  <w:num w:numId="6">
    <w:abstractNumId w:val="5"/>
  </w:num>
  <w:num w:numId="7">
    <w:abstractNumId w:val="15"/>
  </w:num>
  <w:num w:numId="8">
    <w:abstractNumId w:val="18"/>
  </w:num>
  <w:num w:numId="9">
    <w:abstractNumId w:val="2"/>
  </w:num>
  <w:num w:numId="10">
    <w:abstractNumId w:val="6"/>
  </w:num>
  <w:num w:numId="11">
    <w:abstractNumId w:val="1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2"/>
  </w:num>
  <w:num w:numId="19">
    <w:abstractNumId w:val="22"/>
  </w:num>
  <w:num w:numId="20">
    <w:abstractNumId w:val="23"/>
  </w:num>
  <w:num w:numId="21">
    <w:abstractNumId w:val="0"/>
  </w:num>
  <w:num w:numId="22">
    <w:abstractNumId w:val="13"/>
  </w:num>
  <w:num w:numId="23">
    <w:abstractNumId w:val="1"/>
  </w:num>
  <w:num w:numId="24">
    <w:abstractNumId w:val="9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1059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2D3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54C0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27301"/>
    <w:rsid w:val="003317B9"/>
    <w:rsid w:val="00340592"/>
    <w:rsid w:val="00340FE4"/>
    <w:rsid w:val="00341142"/>
    <w:rsid w:val="00342760"/>
    <w:rsid w:val="00344FDD"/>
    <w:rsid w:val="0034585E"/>
    <w:rsid w:val="0034603E"/>
    <w:rsid w:val="003463AF"/>
    <w:rsid w:val="00367B04"/>
    <w:rsid w:val="00367C52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E27"/>
    <w:rsid w:val="003B4FCD"/>
    <w:rsid w:val="003C3227"/>
    <w:rsid w:val="003D3865"/>
    <w:rsid w:val="003D408A"/>
    <w:rsid w:val="003D5166"/>
    <w:rsid w:val="003D526F"/>
    <w:rsid w:val="003D6141"/>
    <w:rsid w:val="003D7C7D"/>
    <w:rsid w:val="003E0074"/>
    <w:rsid w:val="003E75C2"/>
    <w:rsid w:val="003F176A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801A1"/>
    <w:rsid w:val="00681716"/>
    <w:rsid w:val="00685788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4D38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8EF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6DF0"/>
    <w:rsid w:val="007E1B5A"/>
    <w:rsid w:val="007E4810"/>
    <w:rsid w:val="007E5F79"/>
    <w:rsid w:val="007F2DA6"/>
    <w:rsid w:val="007F5295"/>
    <w:rsid w:val="00813904"/>
    <w:rsid w:val="00814949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D0D"/>
    <w:rsid w:val="009A2433"/>
    <w:rsid w:val="009A262F"/>
    <w:rsid w:val="009A2C6B"/>
    <w:rsid w:val="009A44DA"/>
    <w:rsid w:val="009A48D0"/>
    <w:rsid w:val="009A5F14"/>
    <w:rsid w:val="009A7253"/>
    <w:rsid w:val="009A79EE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768AB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BF79A7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EAB"/>
    <w:rsid w:val="00C77EC6"/>
    <w:rsid w:val="00C80F96"/>
    <w:rsid w:val="00C84695"/>
    <w:rsid w:val="00C86107"/>
    <w:rsid w:val="00C91254"/>
    <w:rsid w:val="00C94EAF"/>
    <w:rsid w:val="00CA2F44"/>
    <w:rsid w:val="00CA3C00"/>
    <w:rsid w:val="00CA6D3B"/>
    <w:rsid w:val="00CB1E15"/>
    <w:rsid w:val="00CB56AD"/>
    <w:rsid w:val="00CC1634"/>
    <w:rsid w:val="00CC7163"/>
    <w:rsid w:val="00CD1227"/>
    <w:rsid w:val="00CD303C"/>
    <w:rsid w:val="00CD619F"/>
    <w:rsid w:val="00CD6AE5"/>
    <w:rsid w:val="00CE4A4F"/>
    <w:rsid w:val="00CE73BD"/>
    <w:rsid w:val="00CF7E52"/>
    <w:rsid w:val="00D027C0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A7D44"/>
    <w:rsid w:val="00DB20D4"/>
    <w:rsid w:val="00DB29F8"/>
    <w:rsid w:val="00DC0277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34C9"/>
    <w:rsid w:val="00F64819"/>
    <w:rsid w:val="00F65B2A"/>
    <w:rsid w:val="00F7133C"/>
    <w:rsid w:val="00F73047"/>
    <w:rsid w:val="00F75434"/>
    <w:rsid w:val="00F92BCB"/>
    <w:rsid w:val="00F9330C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customStyle="1" w:styleId="Standarduser">
    <w:name w:val="Standard (user)"/>
    <w:rsid w:val="003D408A"/>
    <w:pPr>
      <w:suppressAutoHyphens/>
      <w:autoSpaceDN w:val="0"/>
      <w:spacing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79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tat.it/it/strumenti/definizioni-e-classificazioni/ateco-200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turismonovar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tlnovara@pec.it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814CC7"/>
    <w:rsid w:val="00885A9A"/>
    <w:rsid w:val="008E6CD0"/>
    <w:rsid w:val="008F4BCF"/>
    <w:rsid w:val="009063A2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25765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E45FB302574B47B583E86AAC8233F702">
    <w:name w:val="E45FB302574B47B583E86AAC8233F702"/>
    <w:rsid w:val="00625765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B50DA-671F-4417-A789-00183143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1461</Words>
  <Characters>8330</Characters>
  <Application>Microsoft Office Word</Application>
  <DocSecurity>0</DocSecurity>
  <Lines>69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m.ferrari</cp:lastModifiedBy>
  <cp:revision>2</cp:revision>
  <cp:lastPrinted>2020-11-25T13:57:00Z</cp:lastPrinted>
  <dcterms:created xsi:type="dcterms:W3CDTF">2022-12-22T08:12:00Z</dcterms:created>
  <dcterms:modified xsi:type="dcterms:W3CDTF">2022-12-22T08:12:00Z</dcterms:modified>
</cp:coreProperties>
</file>